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565656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65656"/>
          <w:spacing w:val="0"/>
          <w:sz w:val="45"/>
          <w:szCs w:val="45"/>
          <w:shd w:val="clear" w:fill="FFFFFF"/>
          <w:vertAlign w:val="baseline"/>
        </w:rPr>
        <w:t>电子烟警语标识规定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6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450" w:right="450" w:firstLine="248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9A9A9A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A9A9A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时间：2022-05-12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6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450" w:right="450" w:firstLine="248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9A9A9A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为规范电子烟警语标识，根据《中华人民共和国烟草专卖法》《中华人民共和国产品质量法》《中华人民共和国烟草专卖法实施条例》及《电子烟管理办法》（国家烟草专卖局公告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 2022年第1号）、《电子烟》强制性国家标准（GB 41700-2022）等法律法规、规章和规范性文件，制定本规定。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第一条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  本规定适用于中华人民共和国境内销售的电子烟及其销售包装。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bookmarkStart w:id="0" w:name="_GoBack"/>
      <w:r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第二条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  电子烟及其销售包装上应标注警语，使用中华人民共和国的规范汉字。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第三条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  警语内容分三组。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第一组：吸电子烟有害健康 请勿在禁烟场所吸电子烟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第二组：尽早戒电子烟有益健康 戒电子烟可减少对健康的危害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第三组：劝阻青少年吸电子烟 禁止中小学生吸电子烟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第四条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  第一组警语应在正面（主要可见面）固定使用，第二组、第三组警语在背面轮换使用。对于仅有一个主要可见面的，第一组警语应固定使用，第二组、第三组警语在同一面内轮换使用。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在市场流通环节中的同一品牌、同一规格、同一包装、同一条码的电子烟及其销售包装，每年应轮换使用不同警语，使用时不要求电子烟与其销售包装一一对应。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第五条  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警语区应位于其所在面下部，面积不应小于其所在面的35.0％。应以分割线（框）将警语区清晰划出。分割线应为不间断的直实线且应闭合或与边框（沿）闭合，分割线（框）的线条宽度应≥1.0mm。警语区面积不包括分割线（框）。警语区不应被遮蔽、抹去、切断，除警语外，其他文字、图案和标识不得进入警语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第六条  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警语区内应标注“本公司提示”字样，位于第一组警语上部。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第七条  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警语区及警语区内文字应明确、清晰和醒目，易于识别，字体采用黑体字，文字方向应与商标文字或图案的正向可视方向或与其垂直方向一致。标注方式应为直接印刷（制）、不可粘贴，并应具有一定的耐久性，确保正常使用条件下保持清晰可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警语区所在面面积≥48.0cm2的，警语区内文字字体高度应≥4.5mm，且文字占警语区面积比例≥13.3％；面积&lt;48.0cm2的，警语区内文字字体高度应≥2.0mm，且文字占警语区面积比例≥28.9％。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第八条  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警语区内文字与背景色差值△Eab≥40，底色可采用原单底色。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第九条  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电子烟及其销售包装、内包装、标志和产品说明书中，禁止使用误导性和诱导性语言，如“保健、疗效、安全、环保、低危害、减害、戒烟、替代、高品质、性能提升、过瘾、不伤身”等有关功效用语，“淡味、超淡味、柔和、低焦油、无焦油、低烟碱”等有关品质用语，容易诱导未成年人吸食的调味用语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第十条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  烟碱成分及其他内容的标注应符合国家有关规定的相关要求。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  </w:t>
      </w:r>
      <w:r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第十一条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  本规定由国家烟草专卖局负责解释。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  </w:t>
      </w:r>
      <w:r>
        <w:rPr>
          <w:rFonts w:hint="default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第十二条</w:t>
      </w:r>
      <w:r>
        <w:rPr>
          <w:rFonts w:hint="eastAsia"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  <w:t>  本规定自发布之日起施行。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textAlignment w:val="baseline"/>
        <w:rPr>
          <w:rFonts w:ascii="仿宋" w:hAnsi="仿宋" w:eastAsia="仿宋" w:cs="仿宋"/>
          <w:i w:val="0"/>
          <w:caps w:val="0"/>
          <w:color w:val="626262"/>
          <w:spacing w:val="0"/>
          <w:sz w:val="32"/>
          <w:szCs w:val="32"/>
          <w:shd w:val="clear" w:fill="FFFFFF"/>
          <w:vertAlign w:val="baseli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B2CB0"/>
    <w:rsid w:val="0D924329"/>
    <w:rsid w:val="52F12389"/>
    <w:rsid w:val="69C10E62"/>
    <w:rsid w:val="7A2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标题5"/>
    <w:basedOn w:val="1"/>
    <w:uiPriority w:val="0"/>
    <w:pPr>
      <w:ind w:firstLine="560" w:firstLineChars="200"/>
    </w:pPr>
    <w:rPr>
      <w:rFonts w:ascii="Times New Roman" w:hAnsi="Times New Roman" w:eastAsia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秋媛</cp:lastModifiedBy>
  <dcterms:modified xsi:type="dcterms:W3CDTF">2022-06-16T09:28:42Z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